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0" w:rsidRPr="009C6240" w:rsidRDefault="009C6240" w:rsidP="009C6240">
      <w:pPr>
        <w:widowControl/>
        <w:shd w:val="clear" w:color="auto" w:fill="FFFFFF"/>
        <w:spacing w:before="148" w:after="445" w:line="594" w:lineRule="atLeast"/>
        <w:jc w:val="left"/>
        <w:textAlignment w:val="baseline"/>
        <w:outlineLvl w:val="0"/>
        <w:rPr>
          <w:rFonts w:ascii="Helvetica" w:eastAsia="宋体" w:hAnsi="Helvetica" w:cs="宋体"/>
          <w:b/>
          <w:bCs/>
          <w:color w:val="333333"/>
          <w:kern w:val="36"/>
          <w:sz w:val="30"/>
          <w:szCs w:val="30"/>
        </w:rPr>
      </w:pPr>
      <w:r w:rsidRPr="009C6240">
        <w:rPr>
          <w:rFonts w:ascii="Helvetica" w:eastAsia="宋体" w:hAnsi="Helvetica" w:cs="宋体"/>
          <w:b/>
          <w:bCs/>
          <w:color w:val="333333"/>
          <w:kern w:val="36"/>
          <w:sz w:val="30"/>
          <w:szCs w:val="30"/>
        </w:rPr>
        <w:t>陕西省财政厅关于政府采购电子卖场有关事项的补充通知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jc w:val="center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陕财办采〔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2023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〕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 xml:space="preserve">2 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号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各设区市、杨凌示范区、韩城市财政局，省级各部门、单位，省级单位政府采购中心，各政府采购供应商：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为进一步优化政府采购营商环境，完善政府采购电子卖场管理机制，扩大入驻供应商和商品数量，方便供应商参与政府采购活动，现就政府采购电子卖场有关事项通知如下：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b/>
          <w:bCs/>
          <w:color w:val="333333"/>
          <w:kern w:val="0"/>
        </w:rPr>
        <w:t>一、供应商入驻。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政府采购电子卖场货物类供应商实行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厂商授权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和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经销商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两种模式。厂商授权模式是指由生产厂家在电子卖场申请厂商资格，依照品目和产品授权代理商，代理商获取授权后进行销售。经销商模式是指经销商签署电子卖场相关协议，通过同级财政部门或采购中心审核后即可入驻。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b/>
          <w:bCs/>
          <w:color w:val="333333"/>
          <w:kern w:val="0"/>
        </w:rPr>
        <w:t>二、商品管理。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在厂商授权模式下，厂商负责上架其商品的参数、服务信息、价格上限等，确保全面客观展示商品。在经销商模式下，由经销商直接维护其经销的商品信息。上架商品用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厂家授权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和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“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经销商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”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标识予以区分。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b/>
          <w:bCs/>
          <w:color w:val="333333"/>
          <w:kern w:val="0"/>
        </w:rPr>
        <w:t>三、相关要求。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各市区财政局要加强政府采购电子卖场相关政策的培训和宣传，确保预算单位和潜在供应商知晓相关政策，提高各市区分站入驻供应商和商品数量，扩大政府采购电子卖场交易规模。各分站运行模式由各市县区财政局结合实际自行确定。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本通知自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2023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年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4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月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1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日起施行，有效期至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2026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年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12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月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31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日。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righ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                                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陕西省财政厅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righ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                                2023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年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2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月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24</w:t>
      </w:r>
      <w:r w:rsidRPr="009C6240">
        <w:rPr>
          <w:rFonts w:ascii="inherit" w:eastAsia="宋体" w:hAnsi="inherit" w:cs="宋体"/>
          <w:color w:val="333333"/>
          <w:kern w:val="0"/>
          <w:szCs w:val="21"/>
        </w:rPr>
        <w:t>日</w:t>
      </w:r>
    </w:p>
    <w:p w:rsidR="009C6240" w:rsidRPr="009C6240" w:rsidRDefault="009C6240" w:rsidP="009C6240">
      <w:pPr>
        <w:widowControl/>
        <w:shd w:val="clear" w:color="auto" w:fill="FFFFFF"/>
        <w:spacing w:line="520" w:lineRule="atLeast"/>
        <w:ind w:firstLine="480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9C6240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483FAC" w:rsidRDefault="00483FAC"/>
    <w:sectPr w:rsidR="00483FAC" w:rsidSect="0048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240"/>
    <w:rsid w:val="00483FAC"/>
    <w:rsid w:val="009C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62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C624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6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C62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清华同方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2023-03-20T01:18:00Z</dcterms:created>
  <dcterms:modified xsi:type="dcterms:W3CDTF">2023-03-20T01:19:00Z</dcterms:modified>
</cp:coreProperties>
</file>